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B8" w:rsidRPr="00AE4AB8" w:rsidRDefault="00A973B8" w:rsidP="00A973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A973B8" w:rsidRPr="00094FDF" w:rsidRDefault="00A973B8" w:rsidP="00A9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к  п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риказу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F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44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094F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094FDF">
        <w:rPr>
          <w:rFonts w:ascii="Times New Roman" w:eastAsia="Times New Roman" w:hAnsi="Times New Roman" w:cs="Times New Roman"/>
          <w:sz w:val="24"/>
          <w:szCs w:val="24"/>
          <w:u w:val="single"/>
        </w:rPr>
        <w:t>23.05.2016 г.</w:t>
      </w:r>
    </w:p>
    <w:p w:rsidR="00A973B8" w:rsidRDefault="00A973B8" w:rsidP="00A9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3B8" w:rsidRPr="00583980" w:rsidRDefault="00A973B8" w:rsidP="00A9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3B8" w:rsidRPr="00427E03" w:rsidRDefault="00A973B8" w:rsidP="00A9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E0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973B8" w:rsidRDefault="00A973B8" w:rsidP="00A9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об </w:t>
      </w:r>
      <w:proofErr w:type="spellStart"/>
      <w:r w:rsidRPr="00427E03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427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политике</w:t>
      </w:r>
      <w:r w:rsidRPr="00427E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смоленского областного государственного бюджетного учреждения «Гагаринский социально-реабилитационный центр </w:t>
      </w:r>
    </w:p>
    <w:p w:rsidR="00A973B8" w:rsidRPr="00427E03" w:rsidRDefault="00A973B8" w:rsidP="00A9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E03">
        <w:rPr>
          <w:rFonts w:ascii="Times New Roman" w:eastAsia="Times New Roman" w:hAnsi="Times New Roman" w:cs="Times New Roman"/>
          <w:b/>
          <w:bCs/>
          <w:sz w:val="28"/>
          <w:szCs w:val="28"/>
        </w:rPr>
        <w:t>для несовершеннолетних «Яуза»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Содержание: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1.     Цели и задачи внедрения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политики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2.     Используемые в политике понятия и определения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3.     Основные принципы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учреждения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4.     Область применения политики и круг лиц, попадающих под  действие политики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5.     Определение должностных лиц организации, ответственных за реализацию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политики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6.     Определение и закрепление обязанностей работников и учреждения, связанных с предупреждением и противодействием коррупции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7.     Установление перечня реализуемых организацией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ционных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стандартов и процедур и порядок их выполнения (применения)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8.     Оценка коррупционных рисков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9.     Конфликт интересов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>Обучение работников по вопросам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и противодействия коррупции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11. Внутренний контроль 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12. Ответственность сотрудников за несоблюдение требований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политики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13. Порядок пересмотра и внесения изменений в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политику учреждения</w:t>
      </w:r>
    </w:p>
    <w:p w:rsidR="00A973B8" w:rsidRPr="00A973B8" w:rsidRDefault="00A973B8" w:rsidP="00A973B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Цели и задачи внедрения </w:t>
      </w:r>
      <w:proofErr w:type="spellStart"/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политики.</w:t>
      </w:r>
    </w:p>
    <w:p w:rsidR="00A973B8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   политика   в   СОГБУ </w:t>
      </w:r>
      <w:r>
        <w:rPr>
          <w:rFonts w:ascii="Times New Roman" w:eastAsia="Times New Roman" w:hAnsi="Times New Roman" w:cs="Times New Roman"/>
          <w:sz w:val="24"/>
          <w:szCs w:val="24"/>
        </w:rPr>
        <w:t>СРЦН «Яуза»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   (далее  - «учреждение»)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</w:t>
      </w:r>
      <w:r>
        <w:rPr>
          <w:rFonts w:ascii="Times New Roman" w:eastAsia="Times New Roman" w:hAnsi="Times New Roman" w:cs="Times New Roman"/>
          <w:sz w:val="24"/>
          <w:szCs w:val="24"/>
        </w:rPr>
        <w:t>ятельности.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«Федеральный закон № 273-ФЗ»).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Основные меры по предупреждению коррупции: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2)  сотрудничество учреждения с правоохранительными органами;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3)     разработка и внедрение в практику стандартов и процедур,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br/>
        <w:t>направленных на обеспечение добросовестной работы учреждения;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4) принятие кодекса этики и служебного поведения работников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br/>
        <w:t>учреждения;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5)  предотвращение и урегулирование конфликта интересов;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6)         недопущение составления неофициальной отчетности и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br/>
        <w:t>использования поддельных документов.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политика учреждения направлена на реализацию данных мер.</w:t>
      </w:r>
    </w:p>
    <w:p w:rsidR="00A973B8" w:rsidRPr="00A973B8" w:rsidRDefault="00A973B8" w:rsidP="00A973B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>2. Используемые в политике понятия и определения.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№ 273-ФЗ).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№ 273-ФЗ):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а) по предупреждению коррупции, в том числе по выявлению и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br/>
        <w:t>последующему устранению причин коррупции (профилактика коррупции);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lastRenderedPageBreak/>
        <w:t>б) по выявлению, предупреждению, пресечению, раскрытию и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br/>
        <w:t>расследованию коррупционных правонарушений (борьба с коррупцией);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83">
        <w:rPr>
          <w:rFonts w:ascii="Times New Roman" w:eastAsia="Times New Roman" w:hAnsi="Times New Roman" w:cs="Times New Roman"/>
          <w:i/>
          <w:sz w:val="24"/>
          <w:szCs w:val="24"/>
        </w:rPr>
        <w:t>Организация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83">
        <w:rPr>
          <w:rFonts w:ascii="Times New Roman" w:eastAsia="Times New Roman" w:hAnsi="Times New Roman" w:cs="Times New Roman"/>
          <w:i/>
          <w:sz w:val="24"/>
          <w:szCs w:val="24"/>
        </w:rPr>
        <w:t>Контрагент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A83">
        <w:rPr>
          <w:rFonts w:ascii="Times New Roman" w:eastAsia="Times New Roman" w:hAnsi="Times New Roman" w:cs="Times New Roman"/>
          <w:i/>
          <w:sz w:val="24"/>
          <w:szCs w:val="24"/>
        </w:rPr>
        <w:t>Взятка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A83">
        <w:rPr>
          <w:rFonts w:ascii="Times New Roman" w:eastAsia="Times New Roman" w:hAnsi="Times New Roman" w:cs="Times New Roman"/>
          <w:i/>
          <w:sz w:val="24"/>
          <w:szCs w:val="24"/>
        </w:rPr>
        <w:t>Коммерческий подкуп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A83">
        <w:rPr>
          <w:rFonts w:ascii="Times New Roman" w:eastAsia="Times New Roman" w:hAnsi="Times New Roman" w:cs="Times New Roman"/>
          <w:i/>
          <w:sz w:val="24"/>
          <w:szCs w:val="24"/>
        </w:rPr>
        <w:t>Конфликт интересов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83">
        <w:rPr>
          <w:rFonts w:ascii="Times New Roman" w:eastAsia="Times New Roman" w:hAnsi="Times New Roman" w:cs="Times New Roman"/>
          <w:i/>
          <w:sz w:val="24"/>
          <w:szCs w:val="24"/>
        </w:rPr>
        <w:t>Личная заинтересованность работника (представителя организации)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973B8" w:rsidRPr="00A973B8" w:rsidRDefault="00A973B8" w:rsidP="00A973B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 xml:space="preserve">3. Основные принципы </w:t>
      </w:r>
      <w:proofErr w:type="spellStart"/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медицинской организации.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Система мер противодействия коррупции в учреждения основывается на следующих ключевых принципах: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1. Принцип соответствия политики учреждения действующему законодательству и общепринятым нормам.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Соответствие реализуемых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2.   Принцип личного примера руководства.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3.   Принцип вовлеченности работников.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Информированность работников учреждения о положениях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стандартов и процедур.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4.   Принцип соразмерности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процедур риску коррупции.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учреждения, ее руководителей и работников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5.     Принцип эффективности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процедур.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Применение в учреждения таких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3B8" w:rsidRPr="00A973B8" w:rsidRDefault="00A973B8" w:rsidP="00A973B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>6.     Принцип ответственности и неотвратимости наказания.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политики.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7.   Принцип открытости.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общественности о принятых в учреждения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стандартах ведения деятельности.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.     Принцип постоянного контроля и регулярного мониторинга.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4. Область применения политики и круг лиц, попадающих под действие политики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3B8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должности и выполняемых функций. Политика распространяется и на лица, выполняющие для учреждения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A973B8" w:rsidRPr="00A973B8" w:rsidRDefault="00A973B8" w:rsidP="00A973B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 xml:space="preserve">5. Определение должностных лиц организации, ответственных за реализацию </w:t>
      </w:r>
      <w:proofErr w:type="spellStart"/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В учреждения ответственным за противодействие коррупции </w:t>
      </w: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>исходя из установленных задач, специфики деятельности, штатной численности, организационной структуры, материальных ресурсов является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директор учреждения.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Задачи, функции и полномочия директора в сфере противодействия коррупции определены его Должностной инструкцией.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Эти обязанности включают в частности: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разработку локальных нормативных актов учреждения, направленных на реализацию мер по предупреждению коррупции (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политики, кодекса этики и служебного поведения работников и т.д.);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оценки коррупционных рисков;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проведение оценки результатов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работы и подготовка соответствующих отчетных материалов Департаменту Смоленской области по социальному развитию.</w:t>
      </w:r>
    </w:p>
    <w:p w:rsidR="00A973B8" w:rsidRPr="00A973B8" w:rsidRDefault="00A973B8" w:rsidP="00A9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>6. Определение и закрепление обязанностей работников и учреждения, связанных с предупреждением и противодействием коррупции.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Обязанности работников учреждения в связи с предупреждением и противодействием коррупции являются общими для всех. Общими обязанностями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работников в связи с предупреждением и противодействием коррупции являются следующие: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совершить, или участвовать, в совершении коррупционного правонарушения в интересах или от имени учреждения;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незамедлительно информировать директора о случаях склонения работника к совершению коррупционных правонарушений;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незамедлительно информировать директора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сообщить директору или иному ответственному лицу о возможности возникновения либо возникшем у работника конфликте интересов.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Исходя их положений статьи 57 Трудового кодекса Российской Федерации по соглашению сторон в трудовой договор, заключаемый с работником при приёме его на работу в учреждение,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политика».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A973B8" w:rsidRPr="00A973B8" w:rsidRDefault="00A973B8" w:rsidP="00A9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 xml:space="preserve"> 7. Установление перечня реализуемых учреждения </w:t>
      </w:r>
      <w:proofErr w:type="spellStart"/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мероприятий, стандартов и процедур и порядок их выполнения (применения).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Нормативное   обеспечение, закрепление стандартов по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ведения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азработка и принятие кодекса этики и служебного поведения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3B8" w:rsidRPr="00583980" w:rsidRDefault="00A973B8" w:rsidP="00A973B8">
      <w:pPr>
        <w:tabs>
          <w:tab w:val="left" w:pos="349"/>
          <w:tab w:val="left" w:pos="42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Р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азработка и принятие правил, регламентирующих вопросы обмена деловыми подарками и знаками делового гостеприимства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3B8" w:rsidRPr="00583980" w:rsidRDefault="00A973B8" w:rsidP="00A973B8">
      <w:pPr>
        <w:tabs>
          <w:tab w:val="left" w:pos="349"/>
          <w:tab w:val="left" w:pos="42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В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ведение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жений в трудовые договоры работ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7.2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Разработка и введение спе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циальных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ных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введение процедуры информирова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работниками работодателя о случаях склонения их к совершению коррупционных нарушений и порядка рассмотрения таких сообщений,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включая определение доступных каналов передачи обозначенной информации (механизмов «обратной связи», телефона доверия и т. п.)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73B8" w:rsidRPr="00583980" w:rsidRDefault="00A973B8" w:rsidP="00A973B8">
      <w:pPr>
        <w:tabs>
          <w:tab w:val="left" w:pos="349"/>
          <w:tab w:val="left" w:pos="42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введение процедуры информирования работодателя о ставшей известной работнику информации о случаях совершения коррупционных правона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рушений другими работниками, контрагентами организации или иными лицами и порядка рассмо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трения таких сообщений, включая определение доступных каналов пере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дачи обозначенной информации (механизмов «обратной связи», телефона доверия и т. п.)</w:t>
      </w:r>
      <w:proofErr w:type="gramEnd"/>
    </w:p>
    <w:p w:rsidR="00A973B8" w:rsidRPr="00583980" w:rsidRDefault="00A973B8" w:rsidP="00A973B8">
      <w:pPr>
        <w:tabs>
          <w:tab w:val="left" w:pos="349"/>
          <w:tab w:val="left" w:pos="42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введение процедуры информирования работниками работодателя о возник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новении конфликта интересов и порядка урегулирования выявленного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введение процедур защиты работ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ников, сообщивших о коррупционных правонарушениях   в  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деятельностиорганизации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>, от формальных и неформальных санкций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73B8" w:rsidRPr="00583980" w:rsidRDefault="00A973B8" w:rsidP="00A973B8">
      <w:pPr>
        <w:tabs>
          <w:tab w:val="left" w:pos="349"/>
          <w:tab w:val="left" w:pos="42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проведение периодической оценки коррупционных рисков в целях выявления сфер деятельности орга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низации, наиболее подверженных таким рискам, и разработки соответ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ствующих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3B8" w:rsidRPr="00583980" w:rsidRDefault="00A973B8" w:rsidP="00A973B8">
      <w:pPr>
        <w:tabs>
          <w:tab w:val="left" w:pos="349"/>
          <w:tab w:val="left" w:pos="42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7.3.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Обучение и информиро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вание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ab/>
        <w:t>ежегодное ознакомление работников под роспись с нормативными доку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ментами, регламентирующими вопро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сы предупреждения и противо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действия коррупции 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индивидуального кон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сультирования работников по вопро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сам применения (соблюдения)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коррупционных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стандартов и проце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дур</w:t>
      </w:r>
    </w:p>
    <w:p w:rsidR="00A973B8" w:rsidRPr="00583980" w:rsidRDefault="00A973B8" w:rsidP="00A973B8">
      <w:pPr>
        <w:tabs>
          <w:tab w:val="left" w:pos="349"/>
          <w:tab w:val="left" w:pos="42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7.4.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Обеспечение соответствия системы внутреннего конт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роля и аудита организации требованиям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политики организа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ab/>
        <w:t>осуществление регулярного контроля соблюдения внутренних процедур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осуществление регулярного контроля данных бухгалтерского учета, наличия и достоверности первичных документов бухгалтерского учета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осуществление регулярного контроля экономической обоснованности рас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ходов в сферах с высоким корруп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ционным риском: обмен деловыми подарками, представительские расхо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ды, благотворительные пожертвова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ния, вознаграждения внешним кон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сультантам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73B8" w:rsidRDefault="00A973B8" w:rsidP="00A973B8">
      <w:pPr>
        <w:tabs>
          <w:tab w:val="left" w:pos="349"/>
          <w:tab w:val="left" w:pos="42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7,5.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Оценка результатов прово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димой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работы и распространение отчетных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73B8" w:rsidRPr="00583980" w:rsidRDefault="00A973B8" w:rsidP="00A973B8">
      <w:pPr>
        <w:tabs>
          <w:tab w:val="left" w:pos="349"/>
          <w:tab w:val="left" w:pos="42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проведение регулярной оценки ре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зультатов работы по противодейст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вию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подготовка и распространение отчет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softHyphen/>
        <w:t>ных материалов о проводимой работе и достигнутых результатах в сфере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3B8" w:rsidRPr="00A973B8" w:rsidRDefault="00A973B8" w:rsidP="00A9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> 8. Оценка коррупционных рисков.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учреждения.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проведения оценки коррупционных рисков: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представить деятельности учреждения в виде отдельных процессов, в каждом из которых выделить составные элементы;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выделить «критические точки» - для каждого процесса определить элементы, при реализации которых наиболее вероятно возникновение коррупционных правонарушений;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для каждого элемента,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должности в учреждении, которые являются «ключевыми» для совершения коррупционного правонарушения - участие каких должностных лиц учреждения необходимо, чтобы совершение коррупционного правонарушения стало возможным;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вероятные формы осуществления коррупционных платежей;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разработать комплекс мер по устранению или минимизации коррупционных рисков.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>9. Конфликт интересов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Работники в целях раскрытия и урегулирования конфликта интересов обязаны: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Учреждение берёт на себя обязательство конфиденциального рассмотрения представленных сведений и урегулирования конфликта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>оступившая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информация подлежит тщательной проверке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Способы разрешения конфликта интересов: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учреждения;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увольнение работника из учреждения по инициативе работника;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Рассмотрение полученной информации проводится коллегиально.</w:t>
      </w:r>
    </w:p>
    <w:p w:rsidR="00A973B8" w:rsidRPr="00A973B8" w:rsidRDefault="00A973B8" w:rsidP="00A9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 xml:space="preserve"> 10. </w:t>
      </w:r>
      <w:proofErr w:type="gramStart"/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>Обучение работников по вопросам</w:t>
      </w:r>
      <w:proofErr w:type="gramEnd"/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и противодействия коррупции.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Цели и задачи обучения определяют тематику и форму занятий. Обучение проводится по следующей тематике: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коррупция в государственном и частном секторах экономики (теоретическая);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юридическая ответственность за совершение коррупционных правонарушений;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>прикладная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выявление и разрешение конфликта интересов при выполнении трудовых обязанностей (</w:t>
      </w: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>прикладная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A973B8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>прикладная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Применяются следующие виды обучения: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>обучение по вопросам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обучение в случае выявления провалов в реализации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Консультирование по вопросам противодействия коррупции осуществляется в индивидуальном порядке.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>11. Внутренний контроль.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Осуществление внутреннего контроля хозяйственных операций,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2011г. №402-ФЗ «О бухгалтерском учете».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Внутренний контроль проводится с учетом требований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политики, реализуемой в учреждения, в том числе путем: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проверки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контроля документирования операций хозяйственной деятельности учреждения;</w:t>
      </w:r>
    </w:p>
    <w:p w:rsidR="00A973B8" w:rsidRPr="00583980" w:rsidRDefault="00A973B8" w:rsidP="00A97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проверки экономической обоснованности осуществляемых операций в сферах коррупционного риска.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т.д.</w:t>
      </w:r>
    </w:p>
    <w:p w:rsidR="00A973B8" w:rsidRPr="00A973B8" w:rsidRDefault="00A973B8" w:rsidP="00A9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 xml:space="preserve">12. Ответственность работников за несоблюдение требований </w:t>
      </w:r>
      <w:proofErr w:type="spellStart"/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Работники учреждения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 (статья 13 Федерального закона № 273-ФЗ).</w:t>
      </w:r>
    </w:p>
    <w:p w:rsidR="00A973B8" w:rsidRPr="00A973B8" w:rsidRDefault="00A973B8" w:rsidP="00A9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13. Порядок пересмотра и внесения изменений в </w:t>
      </w:r>
      <w:proofErr w:type="spellStart"/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антикоррупционную</w:t>
      </w:r>
      <w:proofErr w:type="spellEnd"/>
      <w:r w:rsidRPr="00A973B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политику организации.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 Конкретизация отдельных аспектов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политики может осуществляться путем разработки дополнений и приложений к данному акту.</w:t>
      </w:r>
    </w:p>
    <w:p w:rsidR="00A973B8" w:rsidRPr="00583980" w:rsidRDefault="00A973B8" w:rsidP="00A9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3B8" w:rsidRPr="00583980" w:rsidRDefault="00A973B8" w:rsidP="00A9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A973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3B8"/>
    <w:rsid w:val="00A9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3443</Words>
  <Characters>19627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2016-05-31T06:55:00Z</dcterms:created>
  <dcterms:modified xsi:type="dcterms:W3CDTF">2016-05-31T07:00:00Z</dcterms:modified>
</cp:coreProperties>
</file>